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4779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5644C658" w14:textId="77777777" w:rsidR="00401530" w:rsidRDefault="00401530">
      <w:r>
        <w:t xml:space="preserve">Página: </w:t>
      </w:r>
      <w:r>
        <w:rPr>
          <w:noProof/>
        </w:rPr>
        <w:t>83</w:t>
      </w:r>
    </w:p>
    <w:p w14:paraId="277A128F" w14:textId="77777777" w:rsidR="00401530" w:rsidRDefault="00401530">
      <w:r>
        <w:t>Destaque:</w:t>
      </w:r>
    </w:p>
    <w:p w14:paraId="5B425AA3" w14:textId="77777777" w:rsidR="00401530" w:rsidRDefault="00401530">
      <w:pPr>
        <w:rPr>
          <w:noProof/>
        </w:rPr>
      </w:pPr>
      <w:r>
        <w:rPr>
          <w:noProof/>
        </w:rPr>
        <w:t>Plano pedagógico e epistemológico</w:t>
      </w:r>
    </w:p>
    <w:p w14:paraId="4CA25DBF" w14:textId="77777777" w:rsidR="00401530" w:rsidRDefault="00401530">
      <w:pPr>
        <w:rPr>
          <w:noProof/>
        </w:rPr>
      </w:pPr>
    </w:p>
    <w:p w14:paraId="172E9C5F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7231A307" w14:textId="77777777" w:rsidR="00401530" w:rsidRDefault="00401530">
      <w:r>
        <w:t xml:space="preserve">Página: </w:t>
      </w:r>
      <w:r>
        <w:rPr>
          <w:noProof/>
        </w:rPr>
        <w:t>84</w:t>
      </w:r>
    </w:p>
    <w:p w14:paraId="75483E6C" w14:textId="77777777" w:rsidR="00401530" w:rsidRDefault="00401530">
      <w:r>
        <w:t>Destaque:</w:t>
      </w:r>
    </w:p>
    <w:p w14:paraId="0CBC6E34" w14:textId="77777777" w:rsidR="00401530" w:rsidRDefault="00401530">
      <w:pPr>
        <w:rPr>
          <w:noProof/>
        </w:rPr>
      </w:pPr>
      <w:r>
        <w:rPr>
          <w:noProof/>
        </w:rPr>
        <w:t>A interdisciplinaridade no campo escolar não culmina sempre numa situação concreta [ construção de conhecimentos] [...] o tema não determina os saberes que se visam construir Qual o significado de situação concreta na prática escolar?</w:t>
      </w:r>
    </w:p>
    <w:p w14:paraId="2E3A8B5C" w14:textId="77777777" w:rsidR="00401530" w:rsidRDefault="00401530">
      <w:pPr>
        <w:rPr>
          <w:noProof/>
        </w:rPr>
      </w:pPr>
    </w:p>
    <w:p w14:paraId="768F62AC" w14:textId="77777777" w:rsidR="00401530" w:rsidRDefault="00401530">
      <w:r>
        <w:t xml:space="preserve">Proponente: </w:t>
      </w:r>
      <w:r>
        <w:rPr>
          <w:noProof/>
        </w:rPr>
        <w:t>Airton,</w:t>
      </w:r>
    </w:p>
    <w:p w14:paraId="75C967E0" w14:textId="77777777" w:rsidR="00401530" w:rsidRDefault="00401530">
      <w:r>
        <w:t xml:space="preserve">Página: </w:t>
      </w:r>
      <w:r>
        <w:rPr>
          <w:noProof/>
        </w:rPr>
        <w:t>84</w:t>
      </w:r>
    </w:p>
    <w:p w14:paraId="4AA30545" w14:textId="77777777" w:rsidR="00401530" w:rsidRDefault="00401530">
      <w:r>
        <w:t>Destaque:</w:t>
      </w:r>
    </w:p>
    <w:p w14:paraId="21B19455" w14:textId="77777777" w:rsidR="00401530" w:rsidRDefault="00401530">
      <w:pPr>
        <w:rPr>
          <w:noProof/>
        </w:rPr>
      </w:pPr>
      <w:r>
        <w:rPr>
          <w:noProof/>
        </w:rPr>
        <w:t>“A interdisciplinaridade, no campo escolar, não culmina sempre numa ação concreta. A sua finalidade pode, com efeito, ser de ordem cultural (construção de saberes). Dúvida: Uma consistente construção de saberes não pode ser caracterizada por uma “ação concreta”? Ficou confuso...</w:t>
      </w:r>
    </w:p>
    <w:p w14:paraId="3810518C" w14:textId="77777777" w:rsidR="00401530" w:rsidRDefault="00401530">
      <w:pPr>
        <w:rPr>
          <w:noProof/>
        </w:rPr>
      </w:pPr>
    </w:p>
    <w:p w14:paraId="129CFC45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2B868C0E" w14:textId="77777777" w:rsidR="00401530" w:rsidRDefault="00401530">
      <w:r>
        <w:t xml:space="preserve">Página: </w:t>
      </w:r>
      <w:r>
        <w:rPr>
          <w:noProof/>
        </w:rPr>
        <w:t>85</w:t>
      </w:r>
    </w:p>
    <w:p w14:paraId="63B7B646" w14:textId="77777777" w:rsidR="00401530" w:rsidRDefault="00401530">
      <w:r>
        <w:t>Destaque:</w:t>
      </w:r>
    </w:p>
    <w:p w14:paraId="784D46D0" w14:textId="77777777" w:rsidR="00401530" w:rsidRDefault="00401530">
      <w:pPr>
        <w:rPr>
          <w:noProof/>
        </w:rPr>
      </w:pPr>
      <w:r>
        <w:rPr>
          <w:noProof/>
        </w:rPr>
        <w:t>Porquê lançar-se  individualmente ou em equipe pedagógica, numa experiência interdisciplinar</w:t>
      </w:r>
    </w:p>
    <w:p w14:paraId="42E6720D" w14:textId="77777777" w:rsidR="00401530" w:rsidRDefault="00401530">
      <w:pPr>
        <w:rPr>
          <w:noProof/>
        </w:rPr>
      </w:pPr>
    </w:p>
    <w:p w14:paraId="203FE7EE" w14:textId="77777777" w:rsidR="00401530" w:rsidRDefault="00401530">
      <w:r>
        <w:t xml:space="preserve">Proponente: </w:t>
      </w:r>
      <w:r>
        <w:rPr>
          <w:noProof/>
        </w:rPr>
        <w:t>Airton,</w:t>
      </w:r>
    </w:p>
    <w:p w14:paraId="4EB15B85" w14:textId="77777777" w:rsidR="00401530" w:rsidRDefault="00401530">
      <w:r>
        <w:t xml:space="preserve">Página: </w:t>
      </w:r>
      <w:r>
        <w:rPr>
          <w:noProof/>
        </w:rPr>
        <w:t>85</w:t>
      </w:r>
    </w:p>
    <w:p w14:paraId="0510D0CA" w14:textId="77777777" w:rsidR="00401530" w:rsidRDefault="00401530">
      <w:r>
        <w:lastRenderedPageBreak/>
        <w:t>Destaque:</w:t>
      </w:r>
    </w:p>
    <w:p w14:paraId="5ADB0D5A" w14:textId="77777777" w:rsidR="00401530" w:rsidRDefault="00401530">
      <w:pPr>
        <w:rPr>
          <w:noProof/>
        </w:rPr>
      </w:pPr>
      <w:r>
        <w:rPr>
          <w:noProof/>
        </w:rPr>
        <w:t>“Na maior parte dos cenários  didáticos, os alunos, que são os beneficiários da ação pedagógica, são igualmente destinatários prioritários – senão os únicos – da representação interdisciplinar”.  Como trabalhar no contexto do plano pedagógico quando o aluno não é o destinatário (ou não apenas ele)? Poderia ser dado um exemplo hipotético neste sentido? Não consegui construir um exemplo...</w:t>
      </w:r>
    </w:p>
    <w:p w14:paraId="1F239FE6" w14:textId="77777777" w:rsidR="00401530" w:rsidRDefault="00401530">
      <w:pPr>
        <w:rPr>
          <w:noProof/>
        </w:rPr>
      </w:pPr>
    </w:p>
    <w:p w14:paraId="705CDA92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353A0E26" w14:textId="77777777" w:rsidR="00401530" w:rsidRDefault="00401530">
      <w:r>
        <w:t xml:space="preserve">Página: </w:t>
      </w:r>
      <w:r>
        <w:rPr>
          <w:noProof/>
        </w:rPr>
        <w:t>86</w:t>
      </w:r>
    </w:p>
    <w:p w14:paraId="0F3D8C11" w14:textId="77777777" w:rsidR="00401530" w:rsidRDefault="00401530">
      <w:r>
        <w:t>Destaque:</w:t>
      </w:r>
    </w:p>
    <w:p w14:paraId="5F31F4F1" w14:textId="77777777" w:rsidR="00401530" w:rsidRDefault="00401530">
      <w:pPr>
        <w:rPr>
          <w:noProof/>
        </w:rPr>
      </w:pPr>
      <w:r>
        <w:rPr>
          <w:noProof/>
        </w:rPr>
        <w:t>o que se pretende tratar exatamente? que ponto de vista se vai privilegiar? A partir de que posição se pretende falar?</w:t>
      </w:r>
    </w:p>
    <w:p w14:paraId="701C4CC2" w14:textId="77777777" w:rsidR="00401530" w:rsidRDefault="00401530">
      <w:pPr>
        <w:rPr>
          <w:noProof/>
        </w:rPr>
      </w:pPr>
    </w:p>
    <w:p w14:paraId="117327EB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09CF116E" w14:textId="77777777" w:rsidR="00401530" w:rsidRDefault="00401530">
      <w:r>
        <w:t xml:space="preserve">Página: </w:t>
      </w:r>
      <w:r>
        <w:rPr>
          <w:noProof/>
        </w:rPr>
        <w:t>87</w:t>
      </w:r>
    </w:p>
    <w:p w14:paraId="67DC5F22" w14:textId="77777777" w:rsidR="00401530" w:rsidRDefault="00401530">
      <w:r>
        <w:t>Destaque:</w:t>
      </w:r>
    </w:p>
    <w:p w14:paraId="55F94055" w14:textId="77777777" w:rsidR="00401530" w:rsidRDefault="00401530">
      <w:pPr>
        <w:rPr>
          <w:noProof/>
        </w:rPr>
      </w:pPr>
      <w:r>
        <w:rPr>
          <w:noProof/>
        </w:rPr>
        <w:t>a forma de produção [...] constitui propriamente falando, a representação interdisciplinar enquanto tal</w:t>
      </w:r>
    </w:p>
    <w:p w14:paraId="09039078" w14:textId="77777777" w:rsidR="00401530" w:rsidRDefault="00401530">
      <w:pPr>
        <w:rPr>
          <w:noProof/>
        </w:rPr>
      </w:pPr>
    </w:p>
    <w:p w14:paraId="3B8EB4E0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6CBDD116" w14:textId="77777777" w:rsidR="00401530" w:rsidRDefault="00401530">
      <w:r>
        <w:t xml:space="preserve">Página: </w:t>
      </w:r>
      <w:r>
        <w:rPr>
          <w:noProof/>
        </w:rPr>
        <w:t>87</w:t>
      </w:r>
    </w:p>
    <w:p w14:paraId="490B1F6B" w14:textId="77777777" w:rsidR="00401530" w:rsidRDefault="00401530">
      <w:r>
        <w:t>Destaque:</w:t>
      </w:r>
    </w:p>
    <w:p w14:paraId="2AAF6BAB" w14:textId="77777777" w:rsidR="00401530" w:rsidRDefault="00401530">
      <w:pPr>
        <w:rPr>
          <w:noProof/>
        </w:rPr>
      </w:pPr>
      <w:r>
        <w:rPr>
          <w:noProof/>
        </w:rPr>
        <w:t>em uma situação de aprendizagem, a escolha de uma problemática depende frequentemente dos objetivos pedagógicos.</w:t>
      </w:r>
    </w:p>
    <w:p w14:paraId="03BA0225" w14:textId="77777777" w:rsidR="00401530" w:rsidRDefault="00401530">
      <w:pPr>
        <w:rPr>
          <w:noProof/>
        </w:rPr>
      </w:pPr>
    </w:p>
    <w:p w14:paraId="7090F49D" w14:textId="77777777" w:rsidR="00401530" w:rsidRDefault="00401530">
      <w:r>
        <w:t xml:space="preserve">Proponente: </w:t>
      </w:r>
      <w:r>
        <w:rPr>
          <w:noProof/>
        </w:rPr>
        <w:t>Airton,</w:t>
      </w:r>
    </w:p>
    <w:p w14:paraId="04050DB8" w14:textId="77777777" w:rsidR="00401530" w:rsidRDefault="00401530">
      <w:r>
        <w:t xml:space="preserve">Página: </w:t>
      </w:r>
      <w:r>
        <w:rPr>
          <w:noProof/>
        </w:rPr>
        <w:t>87</w:t>
      </w:r>
    </w:p>
    <w:p w14:paraId="50EC07DC" w14:textId="77777777" w:rsidR="00401530" w:rsidRDefault="00401530">
      <w:r>
        <w:t>Destaque:</w:t>
      </w:r>
    </w:p>
    <w:p w14:paraId="64FFFBBD" w14:textId="77777777" w:rsidR="00401530" w:rsidRDefault="00401530">
      <w:pPr>
        <w:rPr>
          <w:noProof/>
        </w:rPr>
      </w:pPr>
      <w:r>
        <w:rPr>
          <w:noProof/>
        </w:rPr>
        <w:lastRenderedPageBreak/>
        <w:t>“É necessário, igualmente, especificar a forma de produção esperada por parte dos alunos: dossiê, página web, exposição, painel didático...  Esta produção constitui, propriamente dito falando, a representação interdisciplinar enquanto tal”. Dúvida: Essa forma de produção esperada tem que estar definida antes da realização da atividade interdisciplinar em si? Pode haver mudança na no tipo de produção em função da vivência durante o processo interdisciplinar?</w:t>
      </w:r>
    </w:p>
    <w:p w14:paraId="27438881" w14:textId="77777777" w:rsidR="00401530" w:rsidRDefault="00401530">
      <w:pPr>
        <w:rPr>
          <w:noProof/>
        </w:rPr>
      </w:pPr>
    </w:p>
    <w:p w14:paraId="4E28B5CB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0AD2FF52" w14:textId="77777777" w:rsidR="00401530" w:rsidRDefault="00401530">
      <w:r>
        <w:t xml:space="preserve">Página: </w:t>
      </w:r>
      <w:r>
        <w:rPr>
          <w:noProof/>
        </w:rPr>
        <w:t>88</w:t>
      </w:r>
    </w:p>
    <w:p w14:paraId="5B99A6B5" w14:textId="77777777" w:rsidR="00401530" w:rsidRDefault="00401530">
      <w:r>
        <w:t>Destaque:</w:t>
      </w:r>
    </w:p>
    <w:p w14:paraId="6359B1BA" w14:textId="77777777" w:rsidR="00401530" w:rsidRDefault="00401530">
      <w:pPr>
        <w:rPr>
          <w:noProof/>
        </w:rPr>
      </w:pPr>
      <w:r>
        <w:rPr>
          <w:noProof/>
        </w:rPr>
        <w:t>é desejável que os professores antecipem a diversidade dos questionamentos e sugestões</w:t>
      </w:r>
    </w:p>
    <w:p w14:paraId="4D87CF88" w14:textId="77777777" w:rsidR="00401530" w:rsidRDefault="00401530">
      <w:pPr>
        <w:rPr>
          <w:noProof/>
        </w:rPr>
      </w:pPr>
    </w:p>
    <w:p w14:paraId="1F2928DD" w14:textId="77777777" w:rsidR="00401530" w:rsidRDefault="00401530">
      <w:r>
        <w:t xml:space="preserve">Proponente: </w:t>
      </w:r>
      <w:r>
        <w:rPr>
          <w:noProof/>
        </w:rPr>
        <w:t>Nádia,</w:t>
      </w:r>
    </w:p>
    <w:p w14:paraId="09116E5F" w14:textId="77777777" w:rsidR="00401530" w:rsidRDefault="00401530">
      <w:r>
        <w:t xml:space="preserve">Página: </w:t>
      </w:r>
      <w:r>
        <w:rPr>
          <w:noProof/>
        </w:rPr>
        <w:t>88</w:t>
      </w:r>
    </w:p>
    <w:p w14:paraId="7CC3DBF2" w14:textId="77777777" w:rsidR="00401530" w:rsidRDefault="00401530">
      <w:r>
        <w:t>Destaque:</w:t>
      </w:r>
    </w:p>
    <w:p w14:paraId="78203DEA" w14:textId="77777777" w:rsidR="00401530" w:rsidRDefault="00401530">
      <w:pPr>
        <w:rPr>
          <w:noProof/>
        </w:rPr>
      </w:pPr>
      <w:r>
        <w:rPr>
          <w:noProof/>
        </w:rPr>
        <w:t>os professores tenham uma visão global [...] dos conhecimentos e competências disciplinares que é desejável que os alunos mobilizem</w:t>
      </w:r>
    </w:p>
    <w:p w14:paraId="3D929093" w14:textId="77777777" w:rsidR="00401530" w:rsidRDefault="00401530">
      <w:pPr>
        <w:rPr>
          <w:noProof/>
        </w:rPr>
      </w:pPr>
    </w:p>
    <w:p w14:paraId="3C577C2C" w14:textId="77777777" w:rsidR="00401530" w:rsidRDefault="00401530">
      <w:r>
        <w:t xml:space="preserve">Proponente: </w:t>
      </w:r>
      <w:r>
        <w:rPr>
          <w:noProof/>
        </w:rPr>
        <w:t>Airton,</w:t>
      </w:r>
    </w:p>
    <w:p w14:paraId="03436660" w14:textId="77777777" w:rsidR="00401530" w:rsidRDefault="00401530">
      <w:r>
        <w:t xml:space="preserve">Página: </w:t>
      </w:r>
      <w:r>
        <w:rPr>
          <w:noProof/>
        </w:rPr>
        <w:t>88</w:t>
      </w:r>
    </w:p>
    <w:p w14:paraId="4BBB2D44" w14:textId="77777777" w:rsidR="00401530" w:rsidRDefault="00401530">
      <w:r>
        <w:t>Destaque:</w:t>
      </w:r>
    </w:p>
    <w:p w14:paraId="1F51974B" w14:textId="77777777" w:rsidR="00401530" w:rsidRDefault="00401530">
      <w:pPr>
        <w:rPr>
          <w:noProof/>
        </w:rPr>
      </w:pPr>
      <w:r>
        <w:rPr>
          <w:noProof/>
        </w:rPr>
        <w:t>(...) “Mas esta listagem de saber e de experiência não pode tornar-se num constrangimento para o processo”. Não compreendi o sentido que o autor pretendeu expor aqui sobre o termo constrangimento.</w:t>
      </w:r>
    </w:p>
    <w:p w14:paraId="01077BB7" w14:textId="77777777" w:rsidR="00401530" w:rsidRDefault="00401530">
      <w:pPr>
        <w:rPr>
          <w:noProof/>
        </w:rPr>
      </w:pPr>
    </w:p>
    <w:p w14:paraId="197BD988" w14:textId="77777777" w:rsidR="00401530" w:rsidRDefault="00401530">
      <w:r>
        <w:t xml:space="preserve">Proponente: </w:t>
      </w:r>
      <w:r>
        <w:rPr>
          <w:noProof/>
        </w:rPr>
        <w:t>Airton,</w:t>
      </w:r>
    </w:p>
    <w:p w14:paraId="3F5501C9" w14:textId="77777777" w:rsidR="00401530" w:rsidRDefault="00401530">
      <w:r>
        <w:t xml:space="preserve">Página: </w:t>
      </w:r>
      <w:r>
        <w:rPr>
          <w:noProof/>
        </w:rPr>
        <w:t>91</w:t>
      </w:r>
    </w:p>
    <w:p w14:paraId="3B324B85" w14:textId="77777777" w:rsidR="00401530" w:rsidRDefault="00401530">
      <w:r>
        <w:lastRenderedPageBreak/>
        <w:t>Destaque:</w:t>
      </w:r>
    </w:p>
    <w:p w14:paraId="04F9969B" w14:textId="77777777" w:rsidR="00401530" w:rsidRDefault="00401530">
      <w:pPr>
        <w:rPr>
          <w:noProof/>
        </w:rPr>
      </w:pPr>
      <w:r>
        <w:rPr>
          <w:noProof/>
        </w:rPr>
        <w:t>“Estabelece-se um inventário das representações, dos saberes disponíveis ou dos conhecimentos prévios, bem como das questões que ocorrem espontaneamente ao espírito face à noção, à situação, à problemática que se é induzido considerar.  A técnica do brainstorming no grupo-classe ou em uma equipe apresenta-se, muitas vezes, como mais apropriada”. Dúvida: A identificação dos contextos e objetivos do procedimento que será proposta aos alunos (pg. 83, item 1.1.1), relacionado à determinação no plano pedagógico, depende do resultado desse brainstorming? Qual é a sequência cronológica que deve ser seguida neste sentido para a elaboração de  uma atividade interdisciplinar?</w:t>
      </w:r>
    </w:p>
    <w:p w14:paraId="6307F505" w14:textId="77777777" w:rsidR="00401530" w:rsidRDefault="00401530">
      <w:pPr>
        <w:rPr>
          <w:noProof/>
        </w:rPr>
      </w:pPr>
    </w:p>
    <w:sectPr w:rsidR="00401530" w:rsidSect="0040153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3A2F6B61"/>
    <w:multiLevelType w:val="hybridMultilevel"/>
    <w:tmpl w:val="204C64FA"/>
    <w:lvl w:ilvl="0" w:tplc="7B4EF5CE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1">
    <w:nsid w:val="670906DE"/>
    <w:multiLevelType w:val="hybridMultilevel"/>
    <w:tmpl w:val="73B424D2"/>
    <w:lvl w:ilvl="0" w:tplc="32346CC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C2B07F3"/>
    <w:multiLevelType w:val="multilevel"/>
    <w:tmpl w:val="705263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7"/>
    <w:rsid w:val="00025237"/>
    <w:rsid w:val="00041A6F"/>
    <w:rsid w:val="001871E6"/>
    <w:rsid w:val="00196EAF"/>
    <w:rsid w:val="001F33C1"/>
    <w:rsid w:val="001F4D06"/>
    <w:rsid w:val="002040BD"/>
    <w:rsid w:val="00230313"/>
    <w:rsid w:val="0027511C"/>
    <w:rsid w:val="002D2195"/>
    <w:rsid w:val="0031219D"/>
    <w:rsid w:val="00323487"/>
    <w:rsid w:val="00353FEE"/>
    <w:rsid w:val="00401530"/>
    <w:rsid w:val="00440C92"/>
    <w:rsid w:val="0050126B"/>
    <w:rsid w:val="005323DF"/>
    <w:rsid w:val="00606E21"/>
    <w:rsid w:val="00650B2A"/>
    <w:rsid w:val="006F4339"/>
    <w:rsid w:val="006F6B86"/>
    <w:rsid w:val="00715739"/>
    <w:rsid w:val="007641CE"/>
    <w:rsid w:val="00865BA3"/>
    <w:rsid w:val="00885120"/>
    <w:rsid w:val="00894B7D"/>
    <w:rsid w:val="008A1786"/>
    <w:rsid w:val="00994DF0"/>
    <w:rsid w:val="00A52A75"/>
    <w:rsid w:val="00A85FE8"/>
    <w:rsid w:val="00AB57AE"/>
    <w:rsid w:val="00AD3AEE"/>
    <w:rsid w:val="00B60A89"/>
    <w:rsid w:val="00C22A14"/>
    <w:rsid w:val="00C25111"/>
    <w:rsid w:val="00C65C3D"/>
    <w:rsid w:val="00CE7EC5"/>
    <w:rsid w:val="00D0174F"/>
    <w:rsid w:val="00D1148B"/>
    <w:rsid w:val="00D77D41"/>
    <w:rsid w:val="00E84EB8"/>
    <w:rsid w:val="00E94959"/>
    <w:rsid w:val="00F036DC"/>
    <w:rsid w:val="00F77C52"/>
    <w:rsid w:val="00F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D262"/>
  <w15:chartTrackingRefBased/>
  <w15:docId w15:val="{C82C4289-5CFB-495A-81B0-24DEDF6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21"/>
    <w:pPr>
      <w:spacing w:after="120"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641CE"/>
    <w:pPr>
      <w:keepNext/>
      <w:keepLines/>
      <w:numPr>
        <w:numId w:val="3"/>
      </w:numPr>
      <w:ind w:hanging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641CE"/>
    <w:pPr>
      <w:keepNext/>
      <w:keepLines/>
      <w:tabs>
        <w:tab w:val="num" w:pos="720"/>
      </w:tabs>
      <w:spacing w:before="120"/>
      <w:ind w:left="1429" w:hanging="360"/>
      <w:outlineLvl w:val="1"/>
    </w:pPr>
    <w:rPr>
      <w:rFonts w:eastAsiaTheme="majorEastAsia" w:cstheme="majorBidi"/>
      <w:b/>
      <w:bCs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5BA3"/>
    <w:pPr>
      <w:keepNext/>
      <w:keepLines/>
      <w:spacing w:before="100" w:beforeAutospacing="1" w:after="240"/>
      <w:jc w:val="left"/>
      <w:outlineLvl w:val="2"/>
    </w:pPr>
    <w:rPr>
      <w:rFonts w:eastAsiaTheme="majorEastAsia" w:cstheme="majorBidi"/>
      <w:bCs/>
      <w:color w:val="538135" w:themeColor="accent6" w:themeShade="BF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1CE"/>
    <w:rPr>
      <w:rFonts w:ascii="Franklin Gothic Book" w:eastAsiaTheme="majorEastAsia" w:hAnsi="Franklin Gothic Book" w:cstheme="majorBidi"/>
      <w:b/>
      <w:sz w:val="28"/>
      <w:szCs w:val="32"/>
    </w:rPr>
  </w:style>
  <w:style w:type="character" w:styleId="nfaseIntensa">
    <w:name w:val="Intense Emphasis"/>
    <w:basedOn w:val="Fontepargpadro"/>
    <w:uiPriority w:val="21"/>
    <w:qFormat/>
    <w:rsid w:val="00650B2A"/>
    <w:rPr>
      <w:rFonts w:ascii="Franklin Gothic Book" w:hAnsi="Franklin Gothic Book"/>
      <w:i/>
      <w:iCs/>
      <w:color w:val="4472C4" w:themeColor="accent1"/>
      <w:sz w:val="24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196EAF"/>
    <w:pPr>
      <w:spacing w:after="200"/>
    </w:pPr>
    <w:rPr>
      <w:iCs/>
      <w:sz w:val="20"/>
      <w:szCs w:val="18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52A75"/>
    <w:pPr>
      <w:ind w:left="2268"/>
    </w:pPr>
    <w:rPr>
      <w:rFonts w:eastAsia="Arial" w:cstheme="majorBidi"/>
      <w:color w:val="000000" w:themeColor="text1"/>
      <w:w w:val="105"/>
      <w:sz w:val="20"/>
      <w:lang w:eastAsia="zh-CN" w:bidi="hi-IN"/>
    </w:rPr>
  </w:style>
  <w:style w:type="character" w:customStyle="1" w:styleId="CitaoChar">
    <w:name w:val="Citação Char"/>
    <w:basedOn w:val="Fontepargpadro"/>
    <w:link w:val="Citao"/>
    <w:uiPriority w:val="29"/>
    <w:rsid w:val="00A52A75"/>
    <w:rPr>
      <w:rFonts w:ascii="Verdana" w:eastAsia="Arial" w:hAnsi="Verdana" w:cstheme="majorBidi"/>
      <w:color w:val="000000" w:themeColor="text1"/>
      <w:w w:val="105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autoRedefine/>
    <w:uiPriority w:val="99"/>
    <w:unhideWhenUsed/>
    <w:rsid w:val="00B60A89"/>
    <w:pPr>
      <w:tabs>
        <w:tab w:val="center" w:pos="4252"/>
        <w:tab w:val="right" w:pos="8504"/>
      </w:tabs>
      <w:spacing w:line="240" w:lineRule="auto"/>
      <w:ind w:firstLine="0"/>
    </w:pPr>
    <w:rPr>
      <w:sz w:val="20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60A89"/>
    <w:rPr>
      <w:rFonts w:ascii="Times New Roman" w:hAnsi="Times New Roman"/>
      <w:sz w:val="20"/>
    </w:rPr>
  </w:style>
  <w:style w:type="paragraph" w:customStyle="1" w:styleId="NotadeRodap">
    <w:name w:val="Nota de Rodapé"/>
    <w:basedOn w:val="Citao"/>
    <w:qFormat/>
    <w:rsid w:val="00A52A75"/>
    <w:pPr>
      <w:ind w:left="0"/>
    </w:pPr>
    <w:rPr>
      <w:rFonts w:cs="Arial"/>
      <w:szCs w:val="20"/>
    </w:rPr>
  </w:style>
  <w:style w:type="paragraph" w:customStyle="1" w:styleId="Referncias">
    <w:name w:val="Referências"/>
    <w:basedOn w:val="Normal"/>
    <w:qFormat/>
    <w:rsid w:val="00A52A75"/>
    <w:rPr>
      <w:kern w:val="36"/>
    </w:rPr>
  </w:style>
  <w:style w:type="character" w:customStyle="1" w:styleId="Ttulo2Char">
    <w:name w:val="Título 2 Char"/>
    <w:basedOn w:val="Fontepargpadro"/>
    <w:link w:val="Ttulo2"/>
    <w:uiPriority w:val="9"/>
    <w:rsid w:val="007641CE"/>
    <w:rPr>
      <w:rFonts w:ascii="Franklin Gothic Book" w:eastAsiaTheme="majorEastAsia" w:hAnsi="Franklin Gothic Book" w:cstheme="majorBidi"/>
      <w:b/>
      <w:bCs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865BA3"/>
    <w:rPr>
      <w:rFonts w:ascii="Verdana" w:eastAsiaTheme="majorEastAsia" w:hAnsi="Verdana" w:cstheme="majorBidi"/>
      <w:bCs/>
      <w:color w:val="538135" w:themeColor="accent6" w:themeShade="BF"/>
      <w:szCs w:val="20"/>
      <w:lang w:eastAsia="pt-BR"/>
    </w:rPr>
  </w:style>
  <w:style w:type="paragraph" w:customStyle="1" w:styleId="Equao">
    <w:name w:val="Equação"/>
    <w:basedOn w:val="Legenda"/>
    <w:link w:val="EquaoChar"/>
    <w:qFormat/>
    <w:rsid w:val="00353FEE"/>
    <w:rPr>
      <w:rFonts w:ascii="Cambria" w:hAnsi="Cambria"/>
      <w:bCs/>
      <w:iCs w:val="0"/>
      <w:color w:val="44546A" w:themeColor="text2"/>
      <w:sz w:val="18"/>
    </w:rPr>
  </w:style>
  <w:style w:type="character" w:customStyle="1" w:styleId="EquaoChar">
    <w:name w:val="Equação Char"/>
    <w:basedOn w:val="Fontepargpadro"/>
    <w:link w:val="Equao"/>
    <w:rsid w:val="00353FEE"/>
    <w:rPr>
      <w:rFonts w:ascii="Cambria" w:hAnsi="Cambria" w:cs="Times New Roman"/>
      <w:iCs/>
      <w:color w:val="44546A" w:themeColor="text2"/>
      <w:sz w:val="18"/>
      <w:szCs w:val="18"/>
      <w:lang w:eastAsia="pt-BR"/>
    </w:rPr>
  </w:style>
  <w:style w:type="character" w:customStyle="1" w:styleId="LegendaChar">
    <w:name w:val="Legenda Char"/>
    <w:basedOn w:val="Fontepargpadro"/>
    <w:link w:val="Legenda"/>
    <w:uiPriority w:val="35"/>
    <w:rsid w:val="00196EAF"/>
    <w:rPr>
      <w:rFonts w:ascii="Verdana" w:hAnsi="Verdana" w:cs="Times New Roman"/>
      <w:iCs/>
      <w:sz w:val="20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E94959"/>
    <w:rPr>
      <w:rFonts w:ascii="Franklin Gothic Book" w:hAnsi="Franklin Gothic Book"/>
      <w:b w:val="0"/>
      <w:bCs/>
      <w:i w:val="0"/>
      <w:iCs/>
      <w:color w:val="auto"/>
      <w:spacing w:val="5"/>
      <w:sz w:val="24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B60A89"/>
    <w:pPr>
      <w:spacing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0A89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FonteFiguras">
    <w:name w:val="Fonte Figuras"/>
    <w:basedOn w:val="Normal"/>
    <w:autoRedefine/>
    <w:qFormat/>
    <w:rsid w:val="00D77D41"/>
    <w:pPr>
      <w:spacing w:after="240" w:line="240" w:lineRule="auto"/>
      <w:ind w:firstLine="0"/>
      <w:jc w:val="left"/>
    </w:pPr>
    <w:rPr>
      <w:rFonts w:eastAsia="MS Mincho"/>
      <w:bCs/>
      <w:sz w:val="20"/>
    </w:rPr>
  </w:style>
  <w:style w:type="paragraph" w:customStyle="1" w:styleId="REFERNCIASBIBLIOGRFICAS">
    <w:name w:val="REFERÊNCIAS BIBLIOGRÁFICAS"/>
    <w:basedOn w:val="Normal"/>
    <w:link w:val="REFERNCIASBIBLIOGRFICASChar"/>
    <w:autoRedefine/>
    <w:qFormat/>
    <w:rsid w:val="00A85FE8"/>
    <w:pPr>
      <w:spacing w:line="240" w:lineRule="auto"/>
      <w:ind w:firstLine="0"/>
    </w:pPr>
    <w:rPr>
      <w:rFonts w:eastAsia="Calibri" w:cs="Times New Roman"/>
      <w:szCs w:val="21"/>
      <w:lang w:val="x-none"/>
    </w:rPr>
  </w:style>
  <w:style w:type="character" w:customStyle="1" w:styleId="REFERNCIASBIBLIOGRFICASChar">
    <w:name w:val="REFERÊNCIAS BIBLIOGRÁFICAS Char"/>
    <w:link w:val="REFERNCIASBIBLIOGRFICAS"/>
    <w:rsid w:val="00A85FE8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da Silva Rosa</dc:creator>
  <cp:keywords/>
  <dc:description/>
  <cp:lastModifiedBy>Paulo Ricardo da Silva Rosa</cp:lastModifiedBy>
  <cp:revision>1</cp:revision>
  <dcterms:created xsi:type="dcterms:W3CDTF">2020-11-19T18:43:00Z</dcterms:created>
  <dcterms:modified xsi:type="dcterms:W3CDTF">2020-11-19T18:46:00Z</dcterms:modified>
</cp:coreProperties>
</file>